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8CF5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ШҚО білім бөлім басқармасы</w:t>
      </w:r>
    </w:p>
    <w:p w14:paraId="0024A4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Күршім ауданы бойынша  білім бөлімінің</w:t>
      </w:r>
    </w:p>
    <w:p w14:paraId="2341C81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«Күршім ауылының балабақшасы» КМКҚ </w:t>
      </w:r>
    </w:p>
    <w:p w14:paraId="37476CA0">
      <w:pPr>
        <w:spacing w:after="0"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балалардың біліктерімен дағдылары дамуының аралық бақылау нәтижелері бойынша</w:t>
      </w:r>
    </w:p>
    <w:p w14:paraId="00343D5B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14:paraId="146E6F5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2025 оқу жылы </w:t>
      </w:r>
    </w:p>
    <w:p w14:paraId="7252B9FE">
      <w:pPr>
        <w:spacing w:after="0"/>
        <w:jc w:val="center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үшін, критерийлерге сәйкес  «Құлпынай»  кіші тобының біліктері мен дағдыларының даму деңгейіне бақылау жасалынды.</w:t>
      </w:r>
    </w:p>
    <w:p w14:paraId="6E85A46C">
      <w:pPr>
        <w:spacing w:after="0"/>
        <w:rPr>
          <w:rFonts w:ascii="Times New Roman" w:hAnsi="Times New Roman" w:eastAsia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u w:val="single"/>
          <w:lang w:val="kk-KZ"/>
        </w:rPr>
        <w:t>«Құлпынай»  кіші тобына  барлығы 20 бала қатысты.</w:t>
      </w:r>
    </w:p>
    <w:p w14:paraId="016A53D0">
      <w:pPr>
        <w:spacing w:after="0"/>
        <w:rPr>
          <w:rFonts w:ascii="Times New Roman" w:hAnsi="Times New Roman" w:eastAsia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14:paraId="6045AECA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14:paraId="24F33FFC">
      <w:pPr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>Жоғарғы деңгейде –</w:t>
      </w:r>
      <w:r>
        <w:rPr>
          <w:rFonts w:ascii="Times New Roman" w:hAnsi="Times New Roman" w:eastAsia="Times New Roman"/>
          <w:bCs/>
          <w:sz w:val="28"/>
          <w:szCs w:val="28"/>
        </w:rPr>
        <w:t>5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>0% -6 бала.</w:t>
      </w:r>
    </w:p>
    <w:p w14:paraId="0CF79978">
      <w:pPr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>Орташа деңгейде –</w:t>
      </w:r>
      <w:r>
        <w:rPr>
          <w:rFonts w:ascii="Times New Roman" w:hAnsi="Times New Roman" w:eastAsia="Times New Roman"/>
          <w:bCs/>
          <w:sz w:val="28"/>
          <w:szCs w:val="28"/>
        </w:rPr>
        <w:t>40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 xml:space="preserve">% - 8 бала. </w:t>
      </w:r>
    </w:p>
    <w:p w14:paraId="52C2FAB1">
      <w:pPr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>Төменгі деңгейде –  1</w:t>
      </w:r>
      <w:r>
        <w:rPr>
          <w:rFonts w:ascii="Times New Roman" w:hAnsi="Times New Roman" w:eastAsia="Times New Roman"/>
          <w:bCs/>
          <w:sz w:val="28"/>
          <w:szCs w:val="28"/>
        </w:rPr>
        <w:t>0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>%-6 бала</w:t>
      </w:r>
    </w:p>
    <w:p w14:paraId="1A06098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Тәрбиеленушілерді бір ретпенжүруді үйрету.</w:t>
      </w:r>
    </w:p>
    <w:p w14:paraId="557A6BE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14:paraId="2BF3BCE3">
      <w:pPr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>Жоғарғы деңгейде –30% -6 бала.</w:t>
      </w:r>
    </w:p>
    <w:p w14:paraId="4202C426">
      <w:pPr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 xml:space="preserve">Орташа деңгейде –35% - 7 бала. </w:t>
      </w:r>
    </w:p>
    <w:p w14:paraId="2C7AC278">
      <w:pPr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>Төменгі деңгейде –  35% -7 бала</w:t>
      </w:r>
    </w:p>
    <w:p w14:paraId="1D999EDF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Сөйлеуді дамыту</w:t>
      </w:r>
    </w:p>
    <w:p w14:paraId="07C40D77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Жоғарғы деңгейде –15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-5 бала.</w:t>
      </w:r>
    </w:p>
    <w:p w14:paraId="6B26EA20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Орташа деңгейде –45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- 8 бала. </w:t>
      </w:r>
    </w:p>
    <w:p w14:paraId="1A6DADDB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Төменгі деңгейде –40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- 7 бала.</w:t>
      </w:r>
    </w:p>
    <w:p w14:paraId="1D2330C9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>Көркем әдебиет</w:t>
      </w:r>
    </w:p>
    <w:p w14:paraId="5F98CC73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Жоғарғы деңгейде –15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-5 бала.</w:t>
      </w:r>
    </w:p>
    <w:p w14:paraId="05EA037E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Орташа деңгейде –30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- 7 бала. </w:t>
      </w:r>
    </w:p>
    <w:p w14:paraId="26A7FD87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Төменгі деңгейде –55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-8  бала.</w:t>
      </w:r>
    </w:p>
    <w:p w14:paraId="47BB76BC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</w:p>
    <w:p w14:paraId="03563AF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Тәрбиешінің көмегімен ертегі кейіпкерлердің атауларын атап үйрету;ертегілерді тыңдап, қарапайым сұрақтарға жауап беруді үйрету, тілдерін дамыту.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</w:p>
    <w:p w14:paraId="21091ED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14:paraId="074591E1">
      <w:pPr>
        <w:spacing w:after="0" w:line="240" w:lineRule="auto"/>
        <w:ind w:firstLine="708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>Жоғарғы деңгейде –20% -3 бала.</w:t>
      </w:r>
    </w:p>
    <w:p w14:paraId="44BC37D0">
      <w:pPr>
        <w:spacing w:after="0" w:line="240" w:lineRule="auto"/>
        <w:ind w:firstLine="708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 xml:space="preserve">Орташа деңгейде –40% - 8 бала. </w:t>
      </w:r>
    </w:p>
    <w:p w14:paraId="1382F009">
      <w:pPr>
        <w:spacing w:after="0" w:line="240" w:lineRule="auto"/>
        <w:ind w:firstLine="708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>Төменгі деңгейде – 40 % -9 бала</w:t>
      </w:r>
    </w:p>
    <w:p w14:paraId="1C5D9AD7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>Балаларға пішіндердің көлемі,түстеріне сәйкес орналастарды үйрету. Негізгі түстерді бір бірінен ажыратуды үйрету.</w:t>
      </w:r>
    </w:p>
    <w:p w14:paraId="5B8CCBF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14:paraId="71091AF4">
      <w:pPr>
        <w:spacing w:after="0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>Жоғарғы деңгейде –25% -5 бала.</w:t>
      </w:r>
    </w:p>
    <w:p w14:paraId="4783A051">
      <w:pPr>
        <w:spacing w:after="0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 xml:space="preserve"> Орташа деңгейде –35% - 7бала. </w:t>
      </w:r>
    </w:p>
    <w:p w14:paraId="2DDA9424">
      <w:pPr>
        <w:spacing w:after="0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 xml:space="preserve">Төменгі деңгейде –  40% -8 бала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>Сурет салу</w:t>
      </w:r>
    </w:p>
    <w:p w14:paraId="79115DAD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Жоғарғы деңгейде –15% -1 бала</w:t>
      </w:r>
    </w:p>
    <w:p w14:paraId="2F6F6797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Орташа деңгейде </w:t>
      </w:r>
      <w:r>
        <w:rPr>
          <w:rFonts w:ascii="Times New Roman" w:hAnsi="Times New Roman" w:eastAsia="Times New Roman"/>
          <w:sz w:val="28"/>
          <w:szCs w:val="28"/>
        </w:rPr>
        <w:t>–</w:t>
      </w:r>
      <w:r>
        <w:rPr>
          <w:rFonts w:ascii="Times New Roman" w:hAnsi="Times New Roman" w:eastAsia="Times New Roman"/>
          <w:sz w:val="28"/>
          <w:szCs w:val="28"/>
          <w:lang w:val="kk-KZ"/>
        </w:rPr>
        <w:t>20</w:t>
      </w:r>
      <w:r>
        <w:rPr>
          <w:rFonts w:ascii="Times New Roman" w:hAnsi="Times New Roman" w:eastAsia="Times New Roman"/>
          <w:sz w:val="28"/>
          <w:szCs w:val="28"/>
        </w:rPr>
        <w:t xml:space="preserve">% - 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4 бала </w:t>
      </w:r>
    </w:p>
    <w:p w14:paraId="04E0C0CA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Төменгі деңгейде – 45% -15 бала</w:t>
      </w:r>
    </w:p>
    <w:p w14:paraId="1A6C1D7A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hAnsi="Times New Roman" w:eastAsia="Times New Roman"/>
          <w:color w:val="000000"/>
          <w:sz w:val="28"/>
          <w:szCs w:val="18"/>
          <w:lang w:val="kk-KZ"/>
        </w:rPr>
        <w:t>қағазға және құмға сурет салудың бастапқы техникасын меңгергуге үйрету.</w:t>
      </w:r>
    </w:p>
    <w:p w14:paraId="60D4985D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 xml:space="preserve">              Мүсіндеу</w:t>
      </w:r>
    </w:p>
    <w:p w14:paraId="646A9975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Жоғарғы деңгейде –25% -5бала</w:t>
      </w:r>
    </w:p>
    <w:p w14:paraId="21FBA08D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Орташа деңгейде –45% - 12бала </w:t>
      </w:r>
    </w:p>
    <w:p w14:paraId="06B6BA19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Төменгі деңгейде – 30% - 3 бала</w:t>
      </w:r>
    </w:p>
    <w:p w14:paraId="186B6BEA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Мүсіндеудің қарапайым тәсілдерін меңгеруге ынталандыру (кесектерді үлкен бөліктерден бөліп алуды, оларды біртұтас етіп біріктіруді, сазбалшықты өздігінен илеуді үйрету):</w:t>
      </w:r>
    </w:p>
    <w:p w14:paraId="1BA060AA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 xml:space="preserve">            Жапсыру</w:t>
      </w:r>
    </w:p>
    <w:p w14:paraId="606F6F96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Жоғарғы деңгейде –20% -4бала</w:t>
      </w:r>
    </w:p>
    <w:p w14:paraId="1E3AA1BD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Орташа деңгейде –45% - 9бала </w:t>
      </w:r>
    </w:p>
    <w:p w14:paraId="77A5B309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Төменгі деңгейде – 35% - 7бала</w:t>
      </w:r>
    </w:p>
    <w:p w14:paraId="51AE86AE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Қағазды қолданудың қарапайым әдістерін (ұсақтау, жырту, бүктеу) үйрету:</w:t>
      </w:r>
    </w:p>
    <w:p w14:paraId="5DC3EFE7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ab/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Құрастыру</w:t>
      </w:r>
    </w:p>
    <w:p w14:paraId="0ADDEEE7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Жоғарғы деңгейде –30% -4бала</w:t>
      </w:r>
    </w:p>
    <w:p w14:paraId="2DF8E98B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 xml:space="preserve">Орташа деңгейде –40% - 8бала </w:t>
      </w:r>
    </w:p>
    <w:p w14:paraId="78AE21DB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Төменгі деңгейде – 40% - 8бала</w:t>
      </w:r>
    </w:p>
    <w:p w14:paraId="5D8C8C66">
      <w:pPr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>Өз бетінше құрастыруға ынталандыру:</w:t>
      </w:r>
    </w:p>
    <w:p w14:paraId="05F502D2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 xml:space="preserve">            Музыка</w:t>
      </w:r>
    </w:p>
    <w:p w14:paraId="7FF1E242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Жоғарғы деңгейде –30% -6бала</w:t>
      </w:r>
    </w:p>
    <w:p w14:paraId="19CF5EDA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 xml:space="preserve">Орташа деңгейде –30% - 6бала </w:t>
      </w:r>
    </w:p>
    <w:p w14:paraId="7D877F32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Төменгі деңгейде – 40% - 8 бала</w:t>
      </w:r>
    </w:p>
    <w:p w14:paraId="05E952B9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музыкалық аспаптарды ажыратуға үйрету (барабан, бубен, сылдырмақ, асатаяқ):</w:t>
      </w:r>
    </w:p>
    <w:p w14:paraId="4519F3A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ab/>
      </w:r>
      <w:r>
        <w:rPr>
          <w:rFonts w:ascii="Times New Roman" w:hAnsi="Times New Roman" w:eastAsia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14:paraId="061F2AEC">
      <w:pPr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>Жоғарғы деңгейде –50% -9 бала.</w:t>
      </w:r>
    </w:p>
    <w:p w14:paraId="7F6D387F">
      <w:pPr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 xml:space="preserve"> Орташа деңгейде –30% - 6бала. </w:t>
      </w:r>
    </w:p>
    <w:p w14:paraId="4B24EE21"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>Төменгі деңгейде –  20% -5 бала</w:t>
      </w:r>
    </w:p>
    <w:p w14:paraId="629636F3"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18"/>
          <w:lang w:val="kk-KZ"/>
        </w:rPr>
        <w:t>дәмі, сыртқы белгілері бойынша көкөністер мен жемістерді ажыратуға  және атауға;</w:t>
      </w:r>
      <w:r>
        <w:rPr>
          <w:rFonts w:ascii="Times New Roman" w:hAnsi="Times New Roman" w:eastAsia="Times New Roman" w:cs="Times New Roman"/>
          <w:color w:val="000000"/>
          <w:sz w:val="28"/>
          <w:szCs w:val="18"/>
          <w:lang w:val="kk-KZ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18"/>
          <w:lang w:val="kk-KZ"/>
        </w:rPr>
        <w:t>өсімдіктер мен жануарларға қамқорлық танытуға, аттарын атай білуге үйрету.</w:t>
      </w:r>
    </w:p>
    <w:p w14:paraId="5E7E9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>
        <w:rPr>
          <w:rFonts w:ascii="Times New Roman" w:hAnsi="Times New Roman"/>
          <w:sz w:val="28"/>
          <w:szCs w:val="28"/>
          <w:lang w:val="kk-KZ"/>
        </w:rPr>
        <w:t>Балалардың ойын арқылы дағдыларын қалыптастарып, қызығушылықтарын дамытып ынталандыру.</w:t>
      </w:r>
    </w:p>
    <w:p w14:paraId="312B7A4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D5CA6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5D18076">
      <w:pPr>
        <w:rPr>
          <w:lang w:val="kk-KZ"/>
        </w:rPr>
      </w:pPr>
    </w:p>
    <w:p w14:paraId="625B0959">
      <w:pPr>
        <w:rPr>
          <w:lang w:val="kk-KZ"/>
        </w:rPr>
      </w:pPr>
    </w:p>
    <w:p w14:paraId="402A7A6B">
      <w:pPr>
        <w:rPr>
          <w:lang w:val="kk-KZ"/>
        </w:rPr>
      </w:pPr>
    </w:p>
    <w:p w14:paraId="395B9F99">
      <w:pPr>
        <w:rPr>
          <w:lang w:val="kk-KZ"/>
        </w:rPr>
      </w:pPr>
    </w:p>
    <w:p w14:paraId="50565F72">
      <w:pPr>
        <w:rPr>
          <w:lang w:val="kk-KZ"/>
        </w:rPr>
      </w:pPr>
    </w:p>
    <w:p w14:paraId="457B590B">
      <w:pPr>
        <w:rPr>
          <w:lang w:val="kk-KZ"/>
        </w:rPr>
      </w:pPr>
    </w:p>
    <w:p w14:paraId="46E5D025">
      <w:pPr>
        <w:rPr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14:paraId="10665D4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53A4B"/>
    <w:rsid w:val="00553A4B"/>
    <w:rsid w:val="005E1B44"/>
    <w:rsid w:val="007C0047"/>
    <w:rsid w:val="00AB3CBA"/>
    <w:rsid w:val="00CA231C"/>
    <w:rsid w:val="00CA28BB"/>
    <w:rsid w:val="17B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Жоғарғы деңгей</c:v>
                </c:pt>
              </c:strCache>
            </c:strRef>
          </c:tx>
          <c:invertIfNegative val="0"/>
          <c:dLbls>
            <c:delete val="1"/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</c:v>
                </c:pt>
                <c:pt idx="1">
                  <c:v>30</c:v>
                </c:pt>
                <c:pt idx="2">
                  <c:v>15</c:v>
                </c:pt>
                <c:pt idx="3">
                  <c:v>25</c:v>
                </c:pt>
                <c:pt idx="4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40</c:v>
                </c:pt>
                <c:pt idx="1">
                  <c:v>35</c:v>
                </c:pt>
                <c:pt idx="2">
                  <c:v>40</c:v>
                </c:pt>
                <c:pt idx="3">
                  <c:v>35</c:v>
                </c:pt>
                <c:pt idx="4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30</c:v>
                </c:pt>
                <c:pt idx="1">
                  <c:v>35</c:v>
                </c:pt>
                <c:pt idx="2">
                  <c:v>45</c:v>
                </c:pt>
                <c:pt idx="3">
                  <c:v>40</c:v>
                </c:pt>
                <c:pt idx="4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768128"/>
        <c:axId val="114629248"/>
      </c:barChart>
      <c:catAx>
        <c:axId val="112768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14629248"/>
        <c:crosses val="autoZero"/>
        <c:auto val="1"/>
        <c:lblAlgn val="ctr"/>
        <c:lblOffset val="100"/>
        <c:noMultiLvlLbl val="0"/>
      </c:catAx>
      <c:valAx>
        <c:axId val="114629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12768128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699cf01-5a74-48c5-b12f-af89dd044ccf}"/>
      </c:ext>
    </c:extLst>
  </c:chart>
  <c:txPr>
    <a:bodyPr/>
    <a:lstStyle/>
    <a:p>
      <a:pPr>
        <a:defRPr lang="en-US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3</Pages>
  <Words>458</Words>
  <Characters>2613</Characters>
  <Lines>21</Lines>
  <Paragraphs>6</Paragraphs>
  <TotalTime>248</TotalTime>
  <ScaleCrop>false</ScaleCrop>
  <LinksUpToDate>false</LinksUpToDate>
  <CharactersWithSpaces>3065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2025-12-08T07:16:00Z</dcterms:created>
  <dc:creator>Admin</dc:creator>
  <cp:lastModifiedBy>User</cp:lastModifiedBy>
  <dcterms:modified xsi:type="dcterms:W3CDTF">2026-01-20T07:25:48Z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D7F7BB36BA4444E3B491E3FBB0ED92A9_12</vt:lpwstr>
  </property>
</Properties>
</file>